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2" w:rsidRDefault="00266FE9" w:rsidP="00ED4F52">
      <w:pPr>
        <w:jc w:val="both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383790" cy="1089025"/>
            <wp:effectExtent l="0" t="0" r="0" b="0"/>
            <wp:docPr id="4" name="Obraz 4" descr="C:\Users\oem\Desktop\logo_UMED_s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oem\Desktop\logo_UMED_sr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862965" cy="862965"/>
            <wp:effectExtent l="0" t="0" r="0" b="0"/>
            <wp:docPr id="5" name="Obraz 5" descr="logo Wydzialu Farmacreutyczne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Wydzialu Farmacreutycznego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52">
        <w:t xml:space="preserve"> </w:t>
      </w:r>
    </w:p>
    <w:p w:rsidR="0082061A" w:rsidRDefault="0082061A" w:rsidP="00ED4F52">
      <w:pPr>
        <w:jc w:val="both"/>
      </w:pPr>
    </w:p>
    <w:p w:rsidR="0082061A" w:rsidRPr="00FC025D" w:rsidRDefault="0082061A" w:rsidP="00ED4F52">
      <w:pPr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FC025D">
        <w:rPr>
          <w:rFonts w:ascii="Times New Roman" w:hAnsi="Times New Roman" w:cs="Times New Roman"/>
        </w:rPr>
        <w:tab/>
      </w:r>
      <w:r w:rsidRPr="00FC025D">
        <w:rPr>
          <w:rFonts w:ascii="Times New Roman" w:hAnsi="Times New Roman" w:cs="Times New Roman"/>
          <w:b/>
        </w:rPr>
        <w:t>Z A P R O S Z E N I E</w:t>
      </w:r>
    </w:p>
    <w:p w:rsidR="00FC025D" w:rsidRDefault="00FC025D" w:rsidP="00ED4F52">
      <w:pPr>
        <w:jc w:val="both"/>
        <w:rPr>
          <w:rFonts w:ascii="Times New Roman" w:hAnsi="Times New Roman" w:cs="Times New Roman"/>
        </w:rPr>
      </w:pPr>
    </w:p>
    <w:p w:rsidR="00D54F44" w:rsidRPr="00D54F44" w:rsidRDefault="00FC025D" w:rsidP="00D54F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F44">
        <w:rPr>
          <w:rFonts w:ascii="Times New Roman" w:hAnsi="Times New Roman" w:cs="Times New Roman"/>
          <w:b/>
        </w:rPr>
        <w:t xml:space="preserve">Zakład Humanistycznych Nauk </w:t>
      </w:r>
      <w:r w:rsidR="00105868" w:rsidRPr="00D54F44">
        <w:rPr>
          <w:rFonts w:ascii="Times New Roman" w:hAnsi="Times New Roman" w:cs="Times New Roman"/>
          <w:b/>
        </w:rPr>
        <w:t xml:space="preserve">i Muzeum Farmacji </w:t>
      </w:r>
      <w:r w:rsidRPr="00D54F44">
        <w:rPr>
          <w:rFonts w:ascii="Times New Roman" w:hAnsi="Times New Roman" w:cs="Times New Roman"/>
          <w:b/>
        </w:rPr>
        <w:t>Wydziału Farmaceutycznego</w:t>
      </w:r>
      <w:r w:rsidR="00D14625" w:rsidRPr="00D54F44">
        <w:rPr>
          <w:rFonts w:ascii="Times New Roman" w:hAnsi="Times New Roman" w:cs="Times New Roman"/>
          <w:b/>
        </w:rPr>
        <w:t xml:space="preserve"> z Oddziałem Analityki Medycznej</w:t>
      </w:r>
      <w:r w:rsidRPr="00D54F44">
        <w:rPr>
          <w:rFonts w:ascii="Times New Roman" w:hAnsi="Times New Roman" w:cs="Times New Roman"/>
          <w:b/>
        </w:rPr>
        <w:t xml:space="preserve"> Uniwersytetu Medycznego im. Piastów Śląskich we</w:t>
      </w:r>
      <w:r w:rsidR="00105868" w:rsidRPr="00D54F44">
        <w:rPr>
          <w:rFonts w:ascii="Times New Roman" w:hAnsi="Times New Roman" w:cs="Times New Roman"/>
          <w:b/>
        </w:rPr>
        <w:t xml:space="preserve"> Wrocławiu oraz </w:t>
      </w:r>
      <w:r w:rsidR="00FC6A84" w:rsidRPr="00D54F44">
        <w:rPr>
          <w:rFonts w:ascii="Times New Roman" w:hAnsi="Times New Roman" w:cs="Times New Roman"/>
          <w:b/>
        </w:rPr>
        <w:t>Katedra i Zakład Bromatologii i Dietetyki Wydziału Farmaceutycznego</w:t>
      </w:r>
      <w:r w:rsidR="00D14625" w:rsidRPr="00D54F44">
        <w:rPr>
          <w:rFonts w:ascii="Times New Roman" w:hAnsi="Times New Roman" w:cs="Times New Roman"/>
          <w:b/>
        </w:rPr>
        <w:t xml:space="preserve"> z Oddziałem Analityki Medycznej</w:t>
      </w:r>
      <w:r w:rsidR="00FC6A84" w:rsidRPr="00D54F44">
        <w:rPr>
          <w:rFonts w:ascii="Times New Roman" w:hAnsi="Times New Roman" w:cs="Times New Roman"/>
          <w:b/>
        </w:rPr>
        <w:t xml:space="preserve"> Uniwersytetu Medycznego im. Piastów Śląskich we Wrocławiu</w:t>
      </w:r>
    </w:p>
    <w:p w:rsidR="00D54F44" w:rsidRDefault="00FC025D" w:rsidP="00D54F44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zapraszają na </w:t>
      </w:r>
    </w:p>
    <w:p w:rsidR="00D54F44" w:rsidRDefault="00D54F44" w:rsidP="00D54F4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C025D">
        <w:rPr>
          <w:rFonts w:ascii="Times New Roman" w:hAnsi="Times New Roman" w:cs="Times New Roman"/>
        </w:rPr>
        <w:t>konfe</w:t>
      </w:r>
      <w:r w:rsidR="00FC6A84">
        <w:rPr>
          <w:rFonts w:ascii="Times New Roman" w:hAnsi="Times New Roman" w:cs="Times New Roman"/>
        </w:rPr>
        <w:t xml:space="preserve">rencję naukową z cyklu </w:t>
      </w:r>
      <w:r w:rsidR="00FC6A84" w:rsidRPr="00FC6A84">
        <w:rPr>
          <w:rFonts w:ascii="Times New Roman" w:hAnsi="Times New Roman" w:cs="Times New Roman"/>
          <w:b/>
        </w:rPr>
        <w:t>Historia diety i kultury odżywiania</w:t>
      </w:r>
      <w:r w:rsidR="004E0DC0">
        <w:rPr>
          <w:rFonts w:ascii="Times New Roman" w:hAnsi="Times New Roman" w:cs="Times New Roman"/>
        </w:rPr>
        <w:t>.</w:t>
      </w:r>
    </w:p>
    <w:p w:rsidR="00FC6A84" w:rsidRDefault="004E0DC0" w:rsidP="00D54F4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Konferencja </w:t>
      </w:r>
      <w:r w:rsidRPr="00D54F44">
        <w:rPr>
          <w:rFonts w:ascii="Times New Roman" w:hAnsi="Times New Roman" w:cs="Times New Roman"/>
          <w:b/>
        </w:rPr>
        <w:t>odb</w:t>
      </w:r>
      <w:r w:rsidR="00D14625" w:rsidRPr="00D54F44">
        <w:rPr>
          <w:rFonts w:ascii="Times New Roman" w:hAnsi="Times New Roman" w:cs="Times New Roman"/>
          <w:b/>
        </w:rPr>
        <w:t>ędzie się w dniach 18-20</w:t>
      </w:r>
      <w:r w:rsidR="00FC6A84" w:rsidRPr="00D54F44">
        <w:rPr>
          <w:rFonts w:ascii="Times New Roman" w:hAnsi="Times New Roman" w:cs="Times New Roman"/>
          <w:b/>
        </w:rPr>
        <w:t xml:space="preserve"> października</w:t>
      </w:r>
      <w:r w:rsidRPr="00D54F44">
        <w:rPr>
          <w:rFonts w:ascii="Times New Roman" w:hAnsi="Times New Roman" w:cs="Times New Roman"/>
          <w:b/>
        </w:rPr>
        <w:t xml:space="preserve"> </w:t>
      </w:r>
      <w:r w:rsidR="00FC6A84" w:rsidRPr="00D54F44">
        <w:rPr>
          <w:rFonts w:ascii="Times New Roman" w:hAnsi="Times New Roman" w:cs="Times New Roman"/>
          <w:b/>
        </w:rPr>
        <w:t>2017</w:t>
      </w:r>
      <w:r w:rsidR="00D54F44">
        <w:rPr>
          <w:rFonts w:ascii="Times New Roman" w:hAnsi="Times New Roman" w:cs="Times New Roman"/>
          <w:b/>
        </w:rPr>
        <w:t xml:space="preserve"> r.</w:t>
      </w:r>
      <w:r w:rsidR="00D54F44">
        <w:rPr>
          <w:rFonts w:ascii="Times New Roman" w:hAnsi="Times New Roman" w:cs="Times New Roman"/>
        </w:rPr>
        <w:t xml:space="preserve"> </w:t>
      </w:r>
      <w:r w:rsidR="00FC6A84">
        <w:rPr>
          <w:rFonts w:ascii="Times New Roman" w:hAnsi="Times New Roman" w:cs="Times New Roman"/>
        </w:rPr>
        <w:t xml:space="preserve"> we Wrocławiu.</w:t>
      </w:r>
    </w:p>
    <w:p w:rsidR="00FC6A84" w:rsidRDefault="001035AB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</w:t>
      </w:r>
      <w:r w:rsidR="004E0DC0">
        <w:rPr>
          <w:rFonts w:ascii="Times New Roman" w:hAnsi="Times New Roman" w:cs="Times New Roman"/>
        </w:rPr>
        <w:t>konferencji</w:t>
      </w:r>
      <w:r w:rsidR="00FC6A84">
        <w:rPr>
          <w:rFonts w:ascii="Times New Roman" w:hAnsi="Times New Roman" w:cs="Times New Roman"/>
        </w:rPr>
        <w:t xml:space="preserve"> będzie przygotowanie i publikacja pierwszego tomu serii wydawniczej pod tym samym tytułem, pod redakcją naukową prof. dr hab. Bożeny Płonki-Syroki, prof. dr hab. Haliny </w:t>
      </w:r>
      <w:proofErr w:type="spellStart"/>
      <w:r w:rsidR="00FC6A84">
        <w:rPr>
          <w:rFonts w:ascii="Times New Roman" w:hAnsi="Times New Roman" w:cs="Times New Roman"/>
        </w:rPr>
        <w:t>Grajety</w:t>
      </w:r>
      <w:proofErr w:type="spellEnd"/>
      <w:r w:rsidR="00FC6A84">
        <w:rPr>
          <w:rFonts w:ascii="Times New Roman" w:hAnsi="Times New Roman" w:cs="Times New Roman"/>
        </w:rPr>
        <w:t xml:space="preserve"> i mgr Andrzeja Syroki, która będzie wydawana w renomowanym warszawskim wydawnictwie naukowym </w:t>
      </w:r>
      <w:proofErr w:type="spellStart"/>
      <w:r w:rsidR="00FC6A84">
        <w:rPr>
          <w:rFonts w:ascii="Times New Roman" w:hAnsi="Times New Roman" w:cs="Times New Roman"/>
        </w:rPr>
        <w:t>DiG</w:t>
      </w:r>
      <w:proofErr w:type="spellEnd"/>
      <w:r w:rsidR="00FC6A84">
        <w:rPr>
          <w:rFonts w:ascii="Times New Roman" w:hAnsi="Times New Roman" w:cs="Times New Roman"/>
        </w:rPr>
        <w:t xml:space="preserve">. </w:t>
      </w:r>
      <w:r w:rsidR="004E0DC0">
        <w:rPr>
          <w:rFonts w:ascii="Times New Roman" w:hAnsi="Times New Roman" w:cs="Times New Roman"/>
        </w:rPr>
        <w:t xml:space="preserve"> </w:t>
      </w:r>
    </w:p>
    <w:p w:rsidR="00593AE3" w:rsidRDefault="004E0DC0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do współpracy autorskiej w opracowaniu pierwszego tomu serii przedst</w:t>
      </w:r>
      <w:r w:rsidR="00D53BAD">
        <w:rPr>
          <w:rFonts w:ascii="Times New Roman" w:hAnsi="Times New Roman" w:cs="Times New Roman"/>
        </w:rPr>
        <w:t>awicieli następujących dyscyplin i specjalności</w:t>
      </w:r>
      <w:r>
        <w:rPr>
          <w:rFonts w:ascii="Times New Roman" w:hAnsi="Times New Roman" w:cs="Times New Roman"/>
        </w:rPr>
        <w:t xml:space="preserve"> naukowych: historyków</w:t>
      </w:r>
      <w:r w:rsidR="00FC6A84">
        <w:rPr>
          <w:rFonts w:ascii="Times New Roman" w:hAnsi="Times New Roman" w:cs="Times New Roman"/>
        </w:rPr>
        <w:t xml:space="preserve"> </w:t>
      </w:r>
      <w:r w:rsidR="001035AB">
        <w:rPr>
          <w:rFonts w:ascii="Times New Roman" w:hAnsi="Times New Roman" w:cs="Times New Roman"/>
        </w:rPr>
        <w:t xml:space="preserve">kultury i obyczajów, </w:t>
      </w:r>
      <w:r>
        <w:rPr>
          <w:rFonts w:ascii="Times New Roman" w:hAnsi="Times New Roman" w:cs="Times New Roman"/>
        </w:rPr>
        <w:t xml:space="preserve">etnologów i antropologów kultury, </w:t>
      </w:r>
      <w:r w:rsidR="001035AB">
        <w:rPr>
          <w:rFonts w:ascii="Times New Roman" w:hAnsi="Times New Roman" w:cs="Times New Roman"/>
        </w:rPr>
        <w:t>filologów klasycznych i bizantynistów,</w:t>
      </w:r>
      <w:r w:rsidR="00FC6A84">
        <w:rPr>
          <w:rFonts w:ascii="Times New Roman" w:hAnsi="Times New Roman" w:cs="Times New Roman"/>
        </w:rPr>
        <w:t xml:space="preserve"> </w:t>
      </w:r>
      <w:r w:rsidR="001035AB">
        <w:rPr>
          <w:rFonts w:ascii="Times New Roman" w:hAnsi="Times New Roman" w:cs="Times New Roman"/>
        </w:rPr>
        <w:t>historyków epoki średniowiecza i czasów nowożytnych, historyków medycyny i farmacji,</w:t>
      </w:r>
      <w:r w:rsidR="00593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farma</w:t>
      </w:r>
      <w:r w:rsidR="00593AE3">
        <w:rPr>
          <w:rFonts w:ascii="Times New Roman" w:hAnsi="Times New Roman" w:cs="Times New Roman"/>
        </w:rPr>
        <w:t xml:space="preserve">ceutów i </w:t>
      </w:r>
      <w:r>
        <w:rPr>
          <w:rFonts w:ascii="Times New Roman" w:hAnsi="Times New Roman" w:cs="Times New Roman"/>
        </w:rPr>
        <w:t>farmakologów</w:t>
      </w:r>
      <w:r w:rsidR="00593AE3">
        <w:rPr>
          <w:rFonts w:ascii="Times New Roman" w:hAnsi="Times New Roman" w:cs="Times New Roman"/>
        </w:rPr>
        <w:t>,</w:t>
      </w:r>
      <w:r w:rsidR="00FC6A84">
        <w:rPr>
          <w:rFonts w:ascii="Times New Roman" w:hAnsi="Times New Roman" w:cs="Times New Roman"/>
        </w:rPr>
        <w:t xml:space="preserve"> w tym szczególnie specjalizujących się w dziedzinie bromatologii i dietetyki, lekarzy i mikrobiologów, specjalistów w zakresie medycyny tropikalnej</w:t>
      </w:r>
      <w:r w:rsidR="001035AB">
        <w:rPr>
          <w:rFonts w:ascii="Times New Roman" w:hAnsi="Times New Roman" w:cs="Times New Roman"/>
        </w:rPr>
        <w:t xml:space="preserve"> i wojskowej. Zapraszamy także</w:t>
      </w:r>
      <w:r w:rsidR="00FC6A84">
        <w:rPr>
          <w:rFonts w:ascii="Times New Roman" w:hAnsi="Times New Roman" w:cs="Times New Roman"/>
        </w:rPr>
        <w:t xml:space="preserve"> </w:t>
      </w:r>
      <w:r w:rsidR="00452D70">
        <w:rPr>
          <w:rFonts w:ascii="Times New Roman" w:hAnsi="Times New Roman" w:cs="Times New Roman"/>
        </w:rPr>
        <w:t>przedstawicieli innych dyscyplin humanistycznych i medycznych</w:t>
      </w:r>
      <w:r w:rsidR="00593AE3">
        <w:rPr>
          <w:rFonts w:ascii="Times New Roman" w:hAnsi="Times New Roman" w:cs="Times New Roman"/>
        </w:rPr>
        <w:t xml:space="preserve"> zainteresowanych problematyką konferencji. </w:t>
      </w:r>
    </w:p>
    <w:p w:rsidR="00593AE3" w:rsidRDefault="00593AE3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do przygotowania artykułów poświęconych następującym problemom szczegółowym:</w:t>
      </w:r>
    </w:p>
    <w:p w:rsidR="00593AE3" w:rsidRDefault="00452D70" w:rsidP="00452D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1.Opis starożytnych, średniowiecznych i nowożytnych koncepcji dietetycznych ( do 191</w:t>
      </w:r>
      <w:r w:rsidR="00D53BAD">
        <w:rPr>
          <w:rFonts w:ascii="Times New Roman" w:hAnsi="Times New Roman" w:cs="Times New Roman"/>
        </w:rPr>
        <w:t>4 r.) i analiza ich uzasadniania</w:t>
      </w:r>
      <w:r>
        <w:rPr>
          <w:rFonts w:ascii="Times New Roman" w:hAnsi="Times New Roman" w:cs="Times New Roman"/>
        </w:rPr>
        <w:t xml:space="preserve"> przez ówczesnych autorów jako służących zdrowiu („zdrowa dieta”) lub jako element</w:t>
      </w:r>
      <w:r w:rsidR="00D53BA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terapii („dieta lecznicza”, „dieta zalecana w różnych rodzajach chorób”). </w:t>
      </w:r>
    </w:p>
    <w:p w:rsidR="00452D70" w:rsidRDefault="00D53BAD" w:rsidP="006A61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2.Opis</w:t>
      </w:r>
      <w:r w:rsidR="00452D70">
        <w:rPr>
          <w:rFonts w:ascii="Times New Roman" w:hAnsi="Times New Roman" w:cs="Times New Roman"/>
        </w:rPr>
        <w:t xml:space="preserve"> poglądów autorów starożytnych, średniowiecznych i nowożytny</w:t>
      </w:r>
      <w:r w:rsidR="00D14625">
        <w:rPr>
          <w:rFonts w:ascii="Times New Roman" w:hAnsi="Times New Roman" w:cs="Times New Roman"/>
        </w:rPr>
        <w:t>ch (do 1914) na temat wartości odżywczej</w:t>
      </w:r>
      <w:r w:rsidR="00452D70">
        <w:rPr>
          <w:rFonts w:ascii="Times New Roman" w:hAnsi="Times New Roman" w:cs="Times New Roman"/>
        </w:rPr>
        <w:t xml:space="preserve"> i walorów smakowych diety </w:t>
      </w:r>
      <w:r>
        <w:rPr>
          <w:rFonts w:ascii="Times New Roman" w:hAnsi="Times New Roman" w:cs="Times New Roman"/>
        </w:rPr>
        <w:t xml:space="preserve">i analiza ich uzasadniania </w:t>
      </w:r>
      <w:r w:rsidR="00452D70">
        <w:rPr>
          <w:rFonts w:ascii="Times New Roman" w:hAnsi="Times New Roman" w:cs="Times New Roman"/>
        </w:rPr>
        <w:t>(„smaczna dieta”, „dieta pożywna”).</w:t>
      </w:r>
    </w:p>
    <w:p w:rsidR="00452D70" w:rsidRDefault="00D53BAD" w:rsidP="006A61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Opis</w:t>
      </w:r>
      <w:r w:rsidR="00452D70">
        <w:rPr>
          <w:rFonts w:ascii="Times New Roman" w:hAnsi="Times New Roman" w:cs="Times New Roman"/>
        </w:rPr>
        <w:t xml:space="preserve"> poglądów autorów starożytnych, średniowiecznych i nowożytnych (do 1914 r.) na temat szkodliwych aspektów różnych rodzajów diet i praktyk żywieniowych (</w:t>
      </w:r>
      <w:r>
        <w:rPr>
          <w:rFonts w:ascii="Times New Roman" w:hAnsi="Times New Roman" w:cs="Times New Roman"/>
        </w:rPr>
        <w:t xml:space="preserve"> „dieta jako przyczyna choroby”, </w:t>
      </w:r>
      <w:r w:rsidR="00452D70">
        <w:rPr>
          <w:rFonts w:ascii="Times New Roman" w:hAnsi="Times New Roman" w:cs="Times New Roman"/>
        </w:rPr>
        <w:t>„dieta szkodliwa”, „dieta niewłaściwa”, „dieta nadmiernie obciążająca organizm”</w:t>
      </w:r>
      <w:r>
        <w:rPr>
          <w:rFonts w:ascii="Times New Roman" w:hAnsi="Times New Roman" w:cs="Times New Roman"/>
        </w:rPr>
        <w:t>, „dieta mało urozmaicona”, „dieta zbyt uboga”</w:t>
      </w:r>
      <w:r w:rsidR="00CF2578">
        <w:rPr>
          <w:rFonts w:ascii="Times New Roman" w:hAnsi="Times New Roman" w:cs="Times New Roman"/>
        </w:rPr>
        <w:t xml:space="preserve"> itp.)</w:t>
      </w:r>
      <w:r>
        <w:rPr>
          <w:rFonts w:ascii="Times New Roman" w:hAnsi="Times New Roman" w:cs="Times New Roman"/>
        </w:rPr>
        <w:t xml:space="preserve"> i analiza ich uzasadniania.</w:t>
      </w:r>
      <w:r w:rsidR="00452D70">
        <w:rPr>
          <w:rFonts w:ascii="Times New Roman" w:hAnsi="Times New Roman" w:cs="Times New Roman"/>
        </w:rPr>
        <w:t xml:space="preserve">   </w:t>
      </w:r>
    </w:p>
    <w:p w:rsidR="00D53BAD" w:rsidRDefault="00D53BAD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Opis poglądów autorów starożytnych, średniowiecznych i nowożytnych (do 1914 r.</w:t>
      </w:r>
      <w:r w:rsidR="001035AB">
        <w:rPr>
          <w:rFonts w:ascii="Times New Roman" w:hAnsi="Times New Roman" w:cs="Times New Roman"/>
        </w:rPr>
        <w:t xml:space="preserve">) na temat </w:t>
      </w:r>
      <w:r>
        <w:rPr>
          <w:rFonts w:ascii="Times New Roman" w:hAnsi="Times New Roman" w:cs="Times New Roman"/>
        </w:rPr>
        <w:t>diet i praktyk żywieniowych</w:t>
      </w:r>
      <w:r w:rsidR="001035AB">
        <w:rPr>
          <w:rFonts w:ascii="Times New Roman" w:hAnsi="Times New Roman" w:cs="Times New Roman"/>
        </w:rPr>
        <w:t xml:space="preserve"> jako przyczyny śmierci</w:t>
      </w:r>
      <w:r>
        <w:rPr>
          <w:rFonts w:ascii="Times New Roman" w:hAnsi="Times New Roman" w:cs="Times New Roman"/>
        </w:rPr>
        <w:t xml:space="preserve"> i analiza ich uzasadniania.</w:t>
      </w:r>
    </w:p>
    <w:p w:rsidR="004C3512" w:rsidRDefault="00D53BAD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C3512">
        <w:rPr>
          <w:rFonts w:ascii="Times New Roman" w:hAnsi="Times New Roman" w:cs="Times New Roman"/>
        </w:rPr>
        <w:t xml:space="preserve"> Dieta w podróży, dieta w koloniach, dieta na wojnie i w innych nadzwyczajnych sytuacjach życiowych (do 1914 r.). Analiza zaleceń dietetycznych i ostrzeżeń związanych z dietą.</w:t>
      </w:r>
      <w:r>
        <w:rPr>
          <w:rFonts w:ascii="Times New Roman" w:hAnsi="Times New Roman" w:cs="Times New Roman"/>
        </w:rPr>
        <w:t xml:space="preserve"> </w:t>
      </w:r>
    </w:p>
    <w:p w:rsidR="00D53BAD" w:rsidRDefault="004C3512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6.Recepty kulinarne (</w:t>
      </w:r>
      <w:r w:rsidR="00D53BAD">
        <w:rPr>
          <w:rFonts w:ascii="Times New Roman" w:hAnsi="Times New Roman" w:cs="Times New Roman"/>
        </w:rPr>
        <w:t xml:space="preserve">szlacheckie, mieszczańskie i </w:t>
      </w:r>
      <w:r>
        <w:rPr>
          <w:rFonts w:ascii="Times New Roman" w:hAnsi="Times New Roman" w:cs="Times New Roman"/>
        </w:rPr>
        <w:t>chłopskie),</w:t>
      </w:r>
      <w:r w:rsidR="00D53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D53BAD">
        <w:rPr>
          <w:rFonts w:ascii="Times New Roman" w:hAnsi="Times New Roman" w:cs="Times New Roman"/>
        </w:rPr>
        <w:t>oradniki, książki kucharskie</w:t>
      </w:r>
      <w:r>
        <w:rPr>
          <w:rFonts w:ascii="Times New Roman" w:hAnsi="Times New Roman" w:cs="Times New Roman"/>
        </w:rPr>
        <w:t xml:space="preserve"> i inne źródła</w:t>
      </w:r>
      <w:r w:rsidR="00D53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(do 1914 r.) </w:t>
      </w:r>
      <w:r w:rsidR="00D53BAD">
        <w:rPr>
          <w:rFonts w:ascii="Times New Roman" w:hAnsi="Times New Roman" w:cs="Times New Roman"/>
        </w:rPr>
        <w:t>jako podstawa badań nad dietą.</w:t>
      </w:r>
      <w:r>
        <w:rPr>
          <w:rFonts w:ascii="Times New Roman" w:hAnsi="Times New Roman" w:cs="Times New Roman"/>
        </w:rPr>
        <w:t xml:space="preserve"> </w:t>
      </w:r>
    </w:p>
    <w:p w:rsidR="00D53BAD" w:rsidRDefault="004C3512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53BAD">
        <w:rPr>
          <w:rFonts w:ascii="Times New Roman" w:hAnsi="Times New Roman" w:cs="Times New Roman"/>
        </w:rPr>
        <w:t xml:space="preserve"> Opis zwyczajów i obyczajów stołowych od starożytności do wybuchu I wojny światowej. Este</w:t>
      </w:r>
      <w:r>
        <w:rPr>
          <w:rFonts w:ascii="Times New Roman" w:hAnsi="Times New Roman" w:cs="Times New Roman"/>
        </w:rPr>
        <w:t xml:space="preserve">tyka stołu i kultura odżywiania. Analiza  podobieństw i różnic w różnych epokach, warstwach społecznych, grupach wiekowych, itp. </w:t>
      </w:r>
    </w:p>
    <w:p w:rsidR="00D54F44" w:rsidRPr="00D54F44" w:rsidRDefault="00D54F44" w:rsidP="00FC02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4F44">
        <w:rPr>
          <w:rFonts w:ascii="Times New Roman" w:hAnsi="Times New Roman" w:cs="Times New Roman"/>
          <w:b/>
        </w:rPr>
        <w:t xml:space="preserve">               </w:t>
      </w:r>
      <w:r w:rsidR="006A61C6" w:rsidRPr="00D54F44">
        <w:rPr>
          <w:rFonts w:ascii="Times New Roman" w:hAnsi="Times New Roman" w:cs="Times New Roman"/>
          <w:b/>
        </w:rPr>
        <w:t xml:space="preserve">Zgłoszenia udziału w konferencji proszę przesyłać do </w:t>
      </w:r>
      <w:r w:rsidR="001035AB" w:rsidRPr="00D54F44">
        <w:rPr>
          <w:rFonts w:ascii="Times New Roman" w:hAnsi="Times New Roman" w:cs="Times New Roman"/>
          <w:b/>
        </w:rPr>
        <w:t>1 marca 2017 na adres Przewodniczącej Komitetu Naukowego Konferencji, prof.  Bożeny Płonki-Syroki</w:t>
      </w:r>
      <w:r w:rsidR="006A61C6" w:rsidRPr="00D54F44">
        <w:rPr>
          <w:rFonts w:ascii="Times New Roman" w:hAnsi="Times New Roman" w:cs="Times New Roman"/>
          <w:b/>
        </w:rPr>
        <w:t xml:space="preserve"> (mail: </w:t>
      </w:r>
      <w:r w:rsidR="001035AB" w:rsidRPr="00D54F44">
        <w:rPr>
          <w:rFonts w:ascii="Times New Roman" w:hAnsi="Times New Roman" w:cs="Times New Roman"/>
          <w:b/>
        </w:rPr>
        <w:t>bozena@plonka-syroka.pl</w:t>
      </w:r>
      <w:r w:rsidR="006A61C6" w:rsidRPr="00D54F44">
        <w:rPr>
          <w:rFonts w:ascii="Times New Roman" w:hAnsi="Times New Roman" w:cs="Times New Roman"/>
          <w:b/>
        </w:rPr>
        <w:t>), na wypełnionym formularzu dołączonym do niniejszego zaproszenia.</w:t>
      </w:r>
      <w:r w:rsidR="00D14625" w:rsidRPr="00D54F44">
        <w:rPr>
          <w:rFonts w:ascii="Times New Roman" w:hAnsi="Times New Roman" w:cs="Times New Roman"/>
          <w:b/>
        </w:rPr>
        <w:t xml:space="preserve"> </w:t>
      </w:r>
    </w:p>
    <w:p w:rsidR="00D54F44" w:rsidRDefault="006A61C6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udziału w</w:t>
      </w:r>
      <w:r w:rsidR="004C3512">
        <w:rPr>
          <w:rFonts w:ascii="Times New Roman" w:hAnsi="Times New Roman" w:cs="Times New Roman"/>
        </w:rPr>
        <w:t xml:space="preserve"> konferencji wynosi 30</w:t>
      </w:r>
      <w:r>
        <w:rPr>
          <w:rFonts w:ascii="Times New Roman" w:hAnsi="Times New Roman" w:cs="Times New Roman"/>
        </w:rPr>
        <w:t>0 zł, które zostaną przeznaczone na d</w:t>
      </w:r>
      <w:r w:rsidR="004C3512">
        <w:rPr>
          <w:rFonts w:ascii="Times New Roman" w:hAnsi="Times New Roman" w:cs="Times New Roman"/>
        </w:rPr>
        <w:t xml:space="preserve">ofinansowane publikacji oraz </w:t>
      </w:r>
      <w:r>
        <w:rPr>
          <w:rFonts w:ascii="Times New Roman" w:hAnsi="Times New Roman" w:cs="Times New Roman"/>
        </w:rPr>
        <w:t>serwis kawowy.</w:t>
      </w:r>
      <w:r w:rsidR="00D54F44">
        <w:rPr>
          <w:rFonts w:ascii="Times New Roman" w:hAnsi="Times New Roman" w:cs="Times New Roman"/>
        </w:rPr>
        <w:t xml:space="preserve"> Opłatę konferencyjną należy wnosić do 10 października 2017 r. na konto Fundacji </w:t>
      </w:r>
      <w:proofErr w:type="spellStart"/>
      <w:r w:rsidR="00D54F44">
        <w:rPr>
          <w:rFonts w:ascii="Times New Roman" w:hAnsi="Times New Roman" w:cs="Times New Roman"/>
        </w:rPr>
        <w:t>Humanitas</w:t>
      </w:r>
      <w:proofErr w:type="spellEnd"/>
      <w:r w:rsidR="00D54F44">
        <w:rPr>
          <w:rFonts w:ascii="Times New Roman" w:hAnsi="Times New Roman" w:cs="Times New Roman"/>
        </w:rPr>
        <w:t xml:space="preserve"> et </w:t>
      </w:r>
      <w:proofErr w:type="spellStart"/>
      <w:r w:rsidR="00D54F44">
        <w:rPr>
          <w:rFonts w:ascii="Times New Roman" w:hAnsi="Times New Roman" w:cs="Times New Roman"/>
        </w:rPr>
        <w:t>Scientia</w:t>
      </w:r>
      <w:proofErr w:type="spellEnd"/>
      <w:r w:rsidR="00D54F44">
        <w:rPr>
          <w:rFonts w:ascii="Times New Roman" w:hAnsi="Times New Roman" w:cs="Times New Roman"/>
        </w:rPr>
        <w:t xml:space="preserve">, które zostanie podane w II Komunikacie Zjazdowym osobom, których referaty zostaną zakwalifikowane do programu konferencji. </w:t>
      </w:r>
      <w:r w:rsidR="00D14625">
        <w:rPr>
          <w:rFonts w:ascii="Times New Roman" w:hAnsi="Times New Roman" w:cs="Times New Roman"/>
        </w:rPr>
        <w:t xml:space="preserve"> </w:t>
      </w:r>
    </w:p>
    <w:p w:rsidR="00D54F44" w:rsidRDefault="00D14625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wygłaszania referatów wynosi 20 minut (6 stron tekstu). Do druku będą przyjmowane rozszerzone wersje referatów o objętości od 10 do 20 stron tekstu.</w:t>
      </w:r>
      <w:r w:rsidR="006A61C6">
        <w:rPr>
          <w:rFonts w:ascii="Times New Roman" w:hAnsi="Times New Roman" w:cs="Times New Roman"/>
        </w:rPr>
        <w:t xml:space="preserve"> </w:t>
      </w:r>
    </w:p>
    <w:p w:rsidR="004101B4" w:rsidRDefault="006A61C6" w:rsidP="00D5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Noclegi i wyżywienie uczestnicy rezerwują i opłacają we własnym zakresie. Sugerujemy dokonanie rezerwacji w hotelu Premier Class przy ul. Ślężnej, </w:t>
      </w:r>
      <w:r w:rsidR="004101B4">
        <w:rPr>
          <w:rFonts w:ascii="Times New Roman" w:hAnsi="Times New Roman" w:cs="Times New Roman"/>
        </w:rPr>
        <w:t>skąd można doj</w:t>
      </w:r>
      <w:r w:rsidR="00D14625">
        <w:rPr>
          <w:rFonts w:ascii="Times New Roman" w:hAnsi="Times New Roman" w:cs="Times New Roman"/>
        </w:rPr>
        <w:t>echać na miejsce obrad autobusami 112, 113 i 146</w:t>
      </w:r>
      <w:r w:rsidR="004101B4">
        <w:rPr>
          <w:rFonts w:ascii="Times New Roman" w:hAnsi="Times New Roman" w:cs="Times New Roman"/>
        </w:rPr>
        <w:t xml:space="preserve"> ( do 10 minut).</w:t>
      </w:r>
      <w:r w:rsidR="00D54F44">
        <w:rPr>
          <w:rFonts w:ascii="Times New Roman" w:hAnsi="Times New Roman" w:cs="Times New Roman"/>
        </w:rPr>
        <w:t xml:space="preserve"> </w:t>
      </w:r>
      <w:r w:rsidR="00D14625">
        <w:rPr>
          <w:rFonts w:ascii="Times New Roman" w:hAnsi="Times New Roman" w:cs="Times New Roman"/>
        </w:rPr>
        <w:t xml:space="preserve"> Konferencja odbędzie</w:t>
      </w:r>
      <w:r>
        <w:rPr>
          <w:rFonts w:ascii="Times New Roman" w:hAnsi="Times New Roman" w:cs="Times New Roman"/>
        </w:rPr>
        <w:t xml:space="preserve"> się w Zakładzie Humanistycznych Nauk Wydziału Far</w:t>
      </w:r>
      <w:r w:rsidR="004101B4">
        <w:rPr>
          <w:rFonts w:ascii="Times New Roman" w:hAnsi="Times New Roman" w:cs="Times New Roman"/>
        </w:rPr>
        <w:t>maceutycznego</w:t>
      </w:r>
      <w:r w:rsidR="00D14625">
        <w:rPr>
          <w:rFonts w:ascii="Times New Roman" w:hAnsi="Times New Roman" w:cs="Times New Roman"/>
        </w:rPr>
        <w:t xml:space="preserve"> z Oddziałem Analityki Medycznej</w:t>
      </w:r>
      <w:r w:rsidR="004101B4">
        <w:rPr>
          <w:rFonts w:ascii="Times New Roman" w:hAnsi="Times New Roman" w:cs="Times New Roman"/>
        </w:rPr>
        <w:t xml:space="preserve"> U</w:t>
      </w:r>
      <w:r w:rsidR="00D14625">
        <w:rPr>
          <w:rFonts w:ascii="Times New Roman" w:hAnsi="Times New Roman" w:cs="Times New Roman"/>
        </w:rPr>
        <w:t xml:space="preserve">niwersytetu </w:t>
      </w:r>
      <w:r w:rsidR="004101B4">
        <w:rPr>
          <w:rFonts w:ascii="Times New Roman" w:hAnsi="Times New Roman" w:cs="Times New Roman"/>
        </w:rPr>
        <w:t>M</w:t>
      </w:r>
      <w:r w:rsidR="00D14625">
        <w:rPr>
          <w:rFonts w:ascii="Times New Roman" w:hAnsi="Times New Roman" w:cs="Times New Roman"/>
        </w:rPr>
        <w:t xml:space="preserve">edycznego we </w:t>
      </w:r>
      <w:r w:rsidR="004101B4">
        <w:rPr>
          <w:rFonts w:ascii="Times New Roman" w:hAnsi="Times New Roman" w:cs="Times New Roman"/>
        </w:rPr>
        <w:t>W</w:t>
      </w:r>
      <w:r w:rsidR="00D14625">
        <w:rPr>
          <w:rFonts w:ascii="Times New Roman" w:hAnsi="Times New Roman" w:cs="Times New Roman"/>
        </w:rPr>
        <w:t xml:space="preserve">rocławiu, </w:t>
      </w:r>
      <w:r w:rsidR="004101B4">
        <w:rPr>
          <w:rFonts w:ascii="Times New Roman" w:hAnsi="Times New Roman" w:cs="Times New Roman"/>
        </w:rPr>
        <w:t xml:space="preserve"> przy ul. </w:t>
      </w:r>
      <w:proofErr w:type="spellStart"/>
      <w:r w:rsidR="004101B4">
        <w:rPr>
          <w:rFonts w:ascii="Times New Roman" w:hAnsi="Times New Roman" w:cs="Times New Roman"/>
        </w:rPr>
        <w:t>Borowskej</w:t>
      </w:r>
      <w:proofErr w:type="spellEnd"/>
      <w:r w:rsidR="004101B4">
        <w:rPr>
          <w:rFonts w:ascii="Times New Roman" w:hAnsi="Times New Roman" w:cs="Times New Roman"/>
        </w:rPr>
        <w:t xml:space="preserve"> 211 A, II piętro. Obiad i kolację będzie można spo</w:t>
      </w:r>
      <w:r w:rsidR="00D14625">
        <w:rPr>
          <w:rFonts w:ascii="Times New Roman" w:hAnsi="Times New Roman" w:cs="Times New Roman"/>
        </w:rPr>
        <w:t>żyć w barze szpitala klinicznego Uniwersytetu Medycznego,</w:t>
      </w:r>
      <w:r w:rsidR="004101B4">
        <w:rPr>
          <w:rFonts w:ascii="Times New Roman" w:hAnsi="Times New Roman" w:cs="Times New Roman"/>
        </w:rPr>
        <w:t xml:space="preserve"> przy ul. Borowskiej 213, I piętro. Możliwa będzie wcześniejsza rezerwacja posiłków dla referentów.</w:t>
      </w:r>
    </w:p>
    <w:p w:rsidR="004101B4" w:rsidRPr="001035AB" w:rsidRDefault="004101B4" w:rsidP="004101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35AB">
        <w:rPr>
          <w:rFonts w:ascii="Times New Roman" w:hAnsi="Times New Roman" w:cs="Times New Roman"/>
          <w:b/>
        </w:rPr>
        <w:lastRenderedPageBreak/>
        <w:t>Przewodnicząca Komitetu Naukowego i Organizacyjnego Konferencji</w:t>
      </w:r>
    </w:p>
    <w:p w:rsidR="004101B4" w:rsidRDefault="004101B4" w:rsidP="004101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Bożena Płonka-Syroka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62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mail: bozena@plonka-syroka.pl</w:t>
      </w:r>
    </w:p>
    <w:p w:rsidR="001035AB" w:rsidRPr="001035AB" w:rsidRDefault="001035AB" w:rsidP="004101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35AB">
        <w:rPr>
          <w:rFonts w:ascii="Times New Roman" w:hAnsi="Times New Roman" w:cs="Times New Roman"/>
          <w:b/>
        </w:rPr>
        <w:t>Wiceprzewodnicząca Komitetu Naukowego i Organizacyjnego Konferencji</w:t>
      </w:r>
    </w:p>
    <w:p w:rsidR="004101B4" w:rsidRDefault="001035AB" w:rsidP="004101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Halina </w:t>
      </w:r>
      <w:proofErr w:type="spellStart"/>
      <w:r>
        <w:rPr>
          <w:rFonts w:ascii="Times New Roman" w:hAnsi="Times New Roman" w:cs="Times New Roman"/>
        </w:rPr>
        <w:t>Grajeta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62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mail: halina.grajeta@umed.wroc.pl</w:t>
      </w:r>
    </w:p>
    <w:p w:rsidR="004101B4" w:rsidRPr="001035AB" w:rsidRDefault="001035AB" w:rsidP="004101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35AB">
        <w:rPr>
          <w:rFonts w:ascii="Times New Roman" w:hAnsi="Times New Roman" w:cs="Times New Roman"/>
          <w:b/>
        </w:rPr>
        <w:t>Sekretarz</w:t>
      </w:r>
      <w:r w:rsidR="004101B4" w:rsidRPr="001035AB">
        <w:rPr>
          <w:rFonts w:ascii="Times New Roman" w:hAnsi="Times New Roman" w:cs="Times New Roman"/>
          <w:b/>
        </w:rPr>
        <w:t xml:space="preserve"> Komitetu</w:t>
      </w:r>
      <w:r>
        <w:rPr>
          <w:rFonts w:ascii="Times New Roman" w:hAnsi="Times New Roman" w:cs="Times New Roman"/>
          <w:b/>
        </w:rPr>
        <w:t xml:space="preserve"> Naukowego i</w:t>
      </w:r>
      <w:r w:rsidR="004101B4" w:rsidRPr="001035AB">
        <w:rPr>
          <w:rFonts w:ascii="Times New Roman" w:hAnsi="Times New Roman" w:cs="Times New Roman"/>
          <w:b/>
        </w:rPr>
        <w:t xml:space="preserve"> Organizacyjnego</w:t>
      </w:r>
      <w:r>
        <w:rPr>
          <w:rFonts w:ascii="Times New Roman" w:hAnsi="Times New Roman" w:cs="Times New Roman"/>
          <w:b/>
        </w:rPr>
        <w:t xml:space="preserve"> Konferencji</w:t>
      </w:r>
    </w:p>
    <w:p w:rsidR="004C3512" w:rsidRPr="004C3512" w:rsidRDefault="004101B4" w:rsidP="004C351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Andrzej Syroka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625">
        <w:rPr>
          <w:rFonts w:ascii="Times New Roman" w:hAnsi="Times New Roman" w:cs="Times New Roman"/>
        </w:rPr>
        <w:t>e-</w:t>
      </w:r>
      <w:r w:rsidR="001035AB">
        <w:rPr>
          <w:rFonts w:ascii="Times New Roman" w:hAnsi="Times New Roman" w:cs="Times New Roman"/>
        </w:rPr>
        <w:t xml:space="preserve">mail: </w:t>
      </w:r>
      <w:r w:rsidR="004C3512">
        <w:rPr>
          <w:rFonts w:ascii="Times New Roman" w:hAnsi="Times New Roman" w:cs="Times New Roman"/>
        </w:rPr>
        <w:t>andrzej.syroka@umed.wroc.pl</w:t>
      </w:r>
    </w:p>
    <w:p w:rsidR="004101B4" w:rsidRPr="001035AB" w:rsidRDefault="004101B4" w:rsidP="004C3512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1035AB">
        <w:rPr>
          <w:rFonts w:ascii="Times New Roman" w:hAnsi="Times New Roman" w:cs="Times New Roman"/>
          <w:b/>
        </w:rPr>
        <w:t>Karta zgłoszenia uczestnictwa</w:t>
      </w:r>
    </w:p>
    <w:p w:rsidR="006A61C6" w:rsidRDefault="004101B4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Imię, nazwisko, tytuł naukowy . . . . . . . . . . . . . . . . . . . . . . . . . . . . . . . . . . . . . . . . . . . . . . . . . . . . . . . . . </w:t>
      </w:r>
    </w:p>
    <w:p w:rsidR="004101B4" w:rsidRDefault="004101B4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 . . . . . . . . . . . . . . . . . . . . . . . . . . . . . . . . . . . . . . . . . . . . . . . . . . . . . . . . . . . . . . . . . . . . . . . . . . .</w:t>
      </w:r>
    </w:p>
    <w:p w:rsidR="004101B4" w:rsidRDefault="004101B4" w:rsidP="00FC02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Uczelni (z NIP) . . . . . . . . . . . . . . . . . . . . . . . . . . . . . . . . . . . . . . . . . . . . . . . . . . . . . . . . . . . . . . . . </w:t>
      </w:r>
    </w:p>
    <w:p w:rsidR="004101B4" w:rsidRDefault="004101B4" w:rsidP="00D1462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  <w:r w:rsidR="004C3512">
        <w:rPr>
          <w:rFonts w:ascii="Times New Roman" w:hAnsi="Times New Roman" w:cs="Times New Roman"/>
        </w:rPr>
        <w:t>(lub inny adres kontaktowy do przesłania korekty, egzemplarza autorskiego)</w:t>
      </w: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</w:t>
      </w:r>
      <w:r w:rsidR="004C3512">
        <w:rPr>
          <w:rFonts w:ascii="Times New Roman" w:hAnsi="Times New Roman" w:cs="Times New Roman"/>
        </w:rPr>
        <w:t xml:space="preserve"> . . . . . . . . . . . . . . . . .  . . . </w:t>
      </w:r>
    </w:p>
    <w:p w:rsidR="004101B4" w:rsidRDefault="00D14625" w:rsidP="00D146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4101B4">
        <w:rPr>
          <w:rFonts w:ascii="Times New Roman" w:hAnsi="Times New Roman" w:cs="Times New Roman"/>
        </w:rPr>
        <w:t xml:space="preserve">ail, tel. . . .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</w:t>
      </w:r>
    </w:p>
    <w:p w:rsidR="004101B4" w:rsidRDefault="004101B4" w:rsidP="00D1462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referatu  . . . . . . . . . . . . . . . . . . . . . . . . . . . . . . . . . . . . . . . . . . . . . . . . . . . . . . . . . . . . . . . . . . . . . . Streszczenie (pół strony) . . . . . . . . . . . . . . . . . . . . . . . . . . . . . . . . . . . . . . . . . . . . . . . . . . . . . . . . . . . . . .  </w:t>
      </w:r>
    </w:p>
    <w:p w:rsidR="004101B4" w:rsidRPr="00FC025D" w:rsidRDefault="004101B4" w:rsidP="00FC025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101B4" w:rsidRPr="00FC02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31" w:rsidRDefault="003E2B31" w:rsidP="007F68E1">
      <w:pPr>
        <w:spacing w:after="0" w:line="240" w:lineRule="auto"/>
      </w:pPr>
      <w:r>
        <w:separator/>
      </w:r>
    </w:p>
  </w:endnote>
  <w:endnote w:type="continuationSeparator" w:id="0">
    <w:p w:rsidR="003E2B31" w:rsidRDefault="003E2B31" w:rsidP="007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512" w:rsidRDefault="004C35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F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512" w:rsidRDefault="004C3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31" w:rsidRDefault="003E2B31" w:rsidP="007F68E1">
      <w:pPr>
        <w:spacing w:after="0" w:line="240" w:lineRule="auto"/>
      </w:pPr>
      <w:r>
        <w:separator/>
      </w:r>
    </w:p>
  </w:footnote>
  <w:footnote w:type="continuationSeparator" w:id="0">
    <w:p w:rsidR="003E2B31" w:rsidRDefault="003E2B31" w:rsidP="007F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06"/>
    <w:multiLevelType w:val="hybridMultilevel"/>
    <w:tmpl w:val="A37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16C6"/>
    <w:multiLevelType w:val="hybridMultilevel"/>
    <w:tmpl w:val="60F2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3E6C"/>
    <w:multiLevelType w:val="hybridMultilevel"/>
    <w:tmpl w:val="C11A770A"/>
    <w:lvl w:ilvl="0" w:tplc="DC821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A5F39"/>
    <w:multiLevelType w:val="hybridMultilevel"/>
    <w:tmpl w:val="7B90CDBE"/>
    <w:lvl w:ilvl="0" w:tplc="C436C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D334E5"/>
    <w:multiLevelType w:val="hybridMultilevel"/>
    <w:tmpl w:val="18747134"/>
    <w:lvl w:ilvl="0" w:tplc="4A38B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BC28E3"/>
    <w:multiLevelType w:val="hybridMultilevel"/>
    <w:tmpl w:val="2B1A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7BC3"/>
    <w:multiLevelType w:val="hybridMultilevel"/>
    <w:tmpl w:val="5B705808"/>
    <w:lvl w:ilvl="0" w:tplc="069CE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B7076"/>
    <w:multiLevelType w:val="hybridMultilevel"/>
    <w:tmpl w:val="A0042F28"/>
    <w:lvl w:ilvl="0" w:tplc="F0966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6F6DC9"/>
    <w:multiLevelType w:val="hybridMultilevel"/>
    <w:tmpl w:val="5B30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4B60"/>
    <w:multiLevelType w:val="hybridMultilevel"/>
    <w:tmpl w:val="0F46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12394"/>
    <w:multiLevelType w:val="hybridMultilevel"/>
    <w:tmpl w:val="89E8F99C"/>
    <w:lvl w:ilvl="0" w:tplc="FF96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67D7B"/>
    <w:multiLevelType w:val="hybridMultilevel"/>
    <w:tmpl w:val="4C68C8DA"/>
    <w:lvl w:ilvl="0" w:tplc="8A18536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E9"/>
    <w:rsid w:val="00023DD6"/>
    <w:rsid w:val="00024AE0"/>
    <w:rsid w:val="000353C5"/>
    <w:rsid w:val="00051897"/>
    <w:rsid w:val="00054A03"/>
    <w:rsid w:val="00056960"/>
    <w:rsid w:val="00090EAA"/>
    <w:rsid w:val="00093A1A"/>
    <w:rsid w:val="00097621"/>
    <w:rsid w:val="000A05EF"/>
    <w:rsid w:val="000B3666"/>
    <w:rsid w:val="000B5DB6"/>
    <w:rsid w:val="000B79FD"/>
    <w:rsid w:val="000D699E"/>
    <w:rsid w:val="000E3D04"/>
    <w:rsid w:val="000E5384"/>
    <w:rsid w:val="001035AB"/>
    <w:rsid w:val="001056D1"/>
    <w:rsid w:val="00105868"/>
    <w:rsid w:val="00106CB9"/>
    <w:rsid w:val="0018153B"/>
    <w:rsid w:val="001A70E2"/>
    <w:rsid w:val="001D6D9D"/>
    <w:rsid w:val="001E6C8F"/>
    <w:rsid w:val="00202BD9"/>
    <w:rsid w:val="00214776"/>
    <w:rsid w:val="0025143F"/>
    <w:rsid w:val="0025731B"/>
    <w:rsid w:val="00263C25"/>
    <w:rsid w:val="00265E66"/>
    <w:rsid w:val="00266FE9"/>
    <w:rsid w:val="00273FC4"/>
    <w:rsid w:val="0028560F"/>
    <w:rsid w:val="00292BC0"/>
    <w:rsid w:val="002A6496"/>
    <w:rsid w:val="002C183D"/>
    <w:rsid w:val="002D5ECE"/>
    <w:rsid w:val="002D6A84"/>
    <w:rsid w:val="002F7173"/>
    <w:rsid w:val="002F7DF4"/>
    <w:rsid w:val="00334950"/>
    <w:rsid w:val="003356C7"/>
    <w:rsid w:val="00335DE1"/>
    <w:rsid w:val="00363C12"/>
    <w:rsid w:val="0036782A"/>
    <w:rsid w:val="00382563"/>
    <w:rsid w:val="003B78EA"/>
    <w:rsid w:val="003C541A"/>
    <w:rsid w:val="003D032D"/>
    <w:rsid w:val="003E2B31"/>
    <w:rsid w:val="003E4948"/>
    <w:rsid w:val="003E79EF"/>
    <w:rsid w:val="003F2717"/>
    <w:rsid w:val="004101B4"/>
    <w:rsid w:val="00436959"/>
    <w:rsid w:val="00452D70"/>
    <w:rsid w:val="00470C24"/>
    <w:rsid w:val="00472851"/>
    <w:rsid w:val="004878AD"/>
    <w:rsid w:val="00494CF4"/>
    <w:rsid w:val="004B0C6B"/>
    <w:rsid w:val="004C3512"/>
    <w:rsid w:val="004E0DC0"/>
    <w:rsid w:val="004F5FC3"/>
    <w:rsid w:val="0050734D"/>
    <w:rsid w:val="005119B9"/>
    <w:rsid w:val="00513605"/>
    <w:rsid w:val="00517066"/>
    <w:rsid w:val="005337AA"/>
    <w:rsid w:val="00534BD1"/>
    <w:rsid w:val="00556B78"/>
    <w:rsid w:val="00585D5C"/>
    <w:rsid w:val="005907DE"/>
    <w:rsid w:val="00593AE3"/>
    <w:rsid w:val="00595093"/>
    <w:rsid w:val="005957B8"/>
    <w:rsid w:val="005B37A8"/>
    <w:rsid w:val="005B6268"/>
    <w:rsid w:val="005D20B3"/>
    <w:rsid w:val="0062798A"/>
    <w:rsid w:val="00642FF9"/>
    <w:rsid w:val="006835F7"/>
    <w:rsid w:val="00693834"/>
    <w:rsid w:val="006A1875"/>
    <w:rsid w:val="006A61C6"/>
    <w:rsid w:val="006A68EF"/>
    <w:rsid w:val="006B1F2C"/>
    <w:rsid w:val="006B6FAA"/>
    <w:rsid w:val="006F5DCC"/>
    <w:rsid w:val="0074487B"/>
    <w:rsid w:val="007478CC"/>
    <w:rsid w:val="00751BAF"/>
    <w:rsid w:val="00757BE1"/>
    <w:rsid w:val="0076341E"/>
    <w:rsid w:val="007671F0"/>
    <w:rsid w:val="007D321C"/>
    <w:rsid w:val="007D3716"/>
    <w:rsid w:val="007E2E1A"/>
    <w:rsid w:val="007F68E1"/>
    <w:rsid w:val="008006D7"/>
    <w:rsid w:val="00800DCD"/>
    <w:rsid w:val="008045E1"/>
    <w:rsid w:val="0082061A"/>
    <w:rsid w:val="008278D1"/>
    <w:rsid w:val="00844FAD"/>
    <w:rsid w:val="008757A1"/>
    <w:rsid w:val="008C0D7A"/>
    <w:rsid w:val="008E56D4"/>
    <w:rsid w:val="00901D19"/>
    <w:rsid w:val="0092693E"/>
    <w:rsid w:val="009739A2"/>
    <w:rsid w:val="009853F5"/>
    <w:rsid w:val="0099712D"/>
    <w:rsid w:val="009A0972"/>
    <w:rsid w:val="009A3A9E"/>
    <w:rsid w:val="009B37FE"/>
    <w:rsid w:val="009B5884"/>
    <w:rsid w:val="009F44F5"/>
    <w:rsid w:val="00A038CB"/>
    <w:rsid w:val="00A12629"/>
    <w:rsid w:val="00A269C0"/>
    <w:rsid w:val="00A64E87"/>
    <w:rsid w:val="00A8283A"/>
    <w:rsid w:val="00A94203"/>
    <w:rsid w:val="00A95037"/>
    <w:rsid w:val="00AA6EE0"/>
    <w:rsid w:val="00AB2910"/>
    <w:rsid w:val="00AB5620"/>
    <w:rsid w:val="00AB65ED"/>
    <w:rsid w:val="00AD4925"/>
    <w:rsid w:val="00AF749D"/>
    <w:rsid w:val="00B1643F"/>
    <w:rsid w:val="00B574AA"/>
    <w:rsid w:val="00B757EA"/>
    <w:rsid w:val="00BA399C"/>
    <w:rsid w:val="00BB12C6"/>
    <w:rsid w:val="00BB1EEC"/>
    <w:rsid w:val="00BB7954"/>
    <w:rsid w:val="00BB7D56"/>
    <w:rsid w:val="00BE30C6"/>
    <w:rsid w:val="00C131C7"/>
    <w:rsid w:val="00C33E84"/>
    <w:rsid w:val="00C4562E"/>
    <w:rsid w:val="00C457FF"/>
    <w:rsid w:val="00C47497"/>
    <w:rsid w:val="00C53743"/>
    <w:rsid w:val="00C5555F"/>
    <w:rsid w:val="00C648B2"/>
    <w:rsid w:val="00C64C83"/>
    <w:rsid w:val="00C7223B"/>
    <w:rsid w:val="00C7406B"/>
    <w:rsid w:val="00C744C1"/>
    <w:rsid w:val="00C93975"/>
    <w:rsid w:val="00CA20F6"/>
    <w:rsid w:val="00CC0B3A"/>
    <w:rsid w:val="00CE20CF"/>
    <w:rsid w:val="00CF196D"/>
    <w:rsid w:val="00CF2578"/>
    <w:rsid w:val="00D00D4E"/>
    <w:rsid w:val="00D14625"/>
    <w:rsid w:val="00D35D21"/>
    <w:rsid w:val="00D53BAD"/>
    <w:rsid w:val="00D54F44"/>
    <w:rsid w:val="00D6315E"/>
    <w:rsid w:val="00D67893"/>
    <w:rsid w:val="00D72980"/>
    <w:rsid w:val="00D93D6A"/>
    <w:rsid w:val="00DA10C4"/>
    <w:rsid w:val="00DA2755"/>
    <w:rsid w:val="00DA77EC"/>
    <w:rsid w:val="00DB1A9A"/>
    <w:rsid w:val="00DB4988"/>
    <w:rsid w:val="00DB51A0"/>
    <w:rsid w:val="00DC174A"/>
    <w:rsid w:val="00DD6A63"/>
    <w:rsid w:val="00DE1B89"/>
    <w:rsid w:val="00E155CA"/>
    <w:rsid w:val="00E31BBA"/>
    <w:rsid w:val="00E42FE3"/>
    <w:rsid w:val="00E5316A"/>
    <w:rsid w:val="00E74A4C"/>
    <w:rsid w:val="00E7667F"/>
    <w:rsid w:val="00EA5E6D"/>
    <w:rsid w:val="00ED4F52"/>
    <w:rsid w:val="00EF1D78"/>
    <w:rsid w:val="00F06487"/>
    <w:rsid w:val="00F14E57"/>
    <w:rsid w:val="00F1522A"/>
    <w:rsid w:val="00F20B15"/>
    <w:rsid w:val="00F34082"/>
    <w:rsid w:val="00F50FF6"/>
    <w:rsid w:val="00F849C9"/>
    <w:rsid w:val="00F85362"/>
    <w:rsid w:val="00FB04B0"/>
    <w:rsid w:val="00FB34B6"/>
    <w:rsid w:val="00FC025D"/>
    <w:rsid w:val="00FC4A65"/>
    <w:rsid w:val="00FC6A84"/>
    <w:rsid w:val="00FD396B"/>
    <w:rsid w:val="00FD713E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56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7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8E1"/>
  </w:style>
  <w:style w:type="paragraph" w:styleId="Stopka">
    <w:name w:val="footer"/>
    <w:basedOn w:val="Normalny"/>
    <w:link w:val="Stopka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8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56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7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8E1"/>
  </w:style>
  <w:style w:type="paragraph" w:styleId="Stopka">
    <w:name w:val="footer"/>
    <w:basedOn w:val="Normalny"/>
    <w:link w:val="StopkaZnak"/>
    <w:uiPriority w:val="99"/>
    <w:unhideWhenUsed/>
    <w:rsid w:val="007F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8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2016-11-22T10:18:00Z</cp:lastPrinted>
  <dcterms:created xsi:type="dcterms:W3CDTF">2017-01-13T07:12:00Z</dcterms:created>
  <dcterms:modified xsi:type="dcterms:W3CDTF">2017-01-13T07:12:00Z</dcterms:modified>
</cp:coreProperties>
</file>